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6B" w:rsidRDefault="00BE7F6B" w:rsidP="00BE7F6B">
      <w:pPr>
        <w:spacing w:line="480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BE7F6B" w:rsidRPr="000F7EB1" w:rsidRDefault="00BE7F6B" w:rsidP="000F7EB1">
      <w:pPr>
        <w:spacing w:line="48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0F7EB1">
        <w:rPr>
          <w:rFonts w:ascii="Arial" w:hAnsi="Arial" w:cs="Arial"/>
          <w:b/>
          <w:sz w:val="24"/>
          <w:szCs w:val="24"/>
          <w:u w:val="single"/>
        </w:rPr>
        <w:t>Tick list of audit standards (with source references) (King et al</w:t>
      </w:r>
      <w:r w:rsidR="00524143">
        <w:rPr>
          <w:rFonts w:ascii="Arial" w:hAnsi="Arial" w:cs="Arial"/>
          <w:b/>
          <w:sz w:val="24"/>
          <w:szCs w:val="24"/>
          <w:u w:val="single"/>
        </w:rPr>
        <w:t>, 2022</w:t>
      </w:r>
      <w:bookmarkStart w:id="0" w:name="_GoBack"/>
      <w:bookmarkEnd w:id="0"/>
      <w:r w:rsidRPr="000F7EB1">
        <w:rPr>
          <w:rFonts w:ascii="Arial" w:hAnsi="Arial" w:cs="Arial"/>
          <w:b/>
          <w:sz w:val="24"/>
          <w:szCs w:val="24"/>
          <w:u w:val="single"/>
        </w:rPr>
        <w:t>)</w:t>
      </w:r>
    </w:p>
    <w:tbl>
      <w:tblPr>
        <w:tblW w:w="8505" w:type="dxa"/>
        <w:tblInd w:w="534" w:type="dxa"/>
        <w:tblLook w:val="04A0" w:firstRow="1" w:lastRow="0" w:firstColumn="1" w:lastColumn="0" w:noHBand="0" w:noVBand="1"/>
      </w:tblPr>
      <w:tblGrid>
        <w:gridCol w:w="5982"/>
        <w:gridCol w:w="709"/>
        <w:gridCol w:w="7"/>
        <w:gridCol w:w="814"/>
        <w:gridCol w:w="993"/>
      </w:tblGrid>
      <w:tr w:rsidR="00BE7F6B" w:rsidRPr="00E26C17" w:rsidTr="003B56CD">
        <w:trPr>
          <w:trHeight w:val="636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E7F6B" w:rsidRPr="00E26C17" w:rsidRDefault="00BE7F6B" w:rsidP="003B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1a. </w:t>
            </w:r>
            <w:r w:rsidRPr="00E26C1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PROCESS 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STANDARDS (CORE)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E7F6B" w:rsidRPr="00E26C17" w:rsidRDefault="00BE7F6B" w:rsidP="003B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26C1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E7F6B" w:rsidRPr="00E26C17" w:rsidRDefault="00BE7F6B" w:rsidP="003B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26C1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</w:t>
            </w:r>
          </w:p>
        </w:tc>
      </w:tr>
      <w:tr w:rsidR="00BE7F6B" w:rsidRPr="00E26C17" w:rsidTr="003B56CD">
        <w:trPr>
          <w:trHeight w:val="590"/>
        </w:trPr>
        <w:tc>
          <w:tcPr>
            <w:tcW w:w="6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6B" w:rsidRDefault="00BE7F6B" w:rsidP="00BE7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F4BEC">
              <w:rPr>
                <w:rFonts w:ascii="Arial" w:eastAsia="Times New Roman" w:hAnsi="Arial" w:cs="Arial"/>
                <w:b/>
                <w:bCs/>
                <w:lang w:eastAsia="en-GB"/>
              </w:rPr>
              <w:t>An initial clinical interview was completed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  <w:p w:rsidR="00BE7F6B" w:rsidRPr="006F501B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F501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Strauss, Sherman &amp;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Spreen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2006; </w:t>
            </w:r>
            <w:proofErr w:type="spellStart"/>
            <w:r w:rsidRPr="006F501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Lezak</w:t>
            </w:r>
            <w:proofErr w:type="spellEnd"/>
            <w:r w:rsidRPr="006F501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6F501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Howieson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 xml:space="preserve"> &amp; </w:t>
            </w:r>
            <w:r w:rsidRPr="006F501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Loring, 20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12</w:t>
            </w:r>
            <w:r w:rsidRPr="006F501B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; Watt &amp; Crowe, 2018)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1104"/>
        </w:trPr>
        <w:tc>
          <w:tcPr>
            <w:tcW w:w="6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6B" w:rsidRDefault="00BE7F6B" w:rsidP="00BE7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The purpose of the assessment and w</w:t>
            </w:r>
            <w:r w:rsidRPr="00887DE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hat to expect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in the testing session </w:t>
            </w:r>
            <w:r w:rsidRPr="00887DE2">
              <w:rPr>
                <w:rFonts w:ascii="Arial" w:eastAsia="Times New Roman" w:hAnsi="Arial" w:cs="Arial"/>
                <w:b/>
                <w:bCs/>
                <w:lang w:eastAsia="en-GB"/>
              </w:rPr>
              <w:t>was discussed with the patient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, and documented</w:t>
            </w:r>
          </w:p>
          <w:p w:rsidR="00BE7F6B" w:rsidRPr="006F501B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(Strauss et al, 2006; Board of Directors (AACN) 2007;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NH</w:t>
            </w:r>
            <w:r w:rsidRPr="004A6D67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S.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 xml:space="preserve"> England, </w:t>
            </w:r>
            <w:r w:rsidRPr="004A6D67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2017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 xml:space="preserve">; </w:t>
            </w:r>
            <w:r w:rsidRPr="006F501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British Psychological Society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(BPS)</w:t>
            </w:r>
            <w:r w:rsidRPr="006F501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r w:rsidRPr="000A1C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2019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1104"/>
        </w:trPr>
        <w:tc>
          <w:tcPr>
            <w:tcW w:w="6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6B" w:rsidRDefault="00BE7F6B" w:rsidP="00BE7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Informed consent to proceed with testing (written or verbal) was obtained and documented, or where capacity to consent was lacking, a Best Interests decision was documented</w:t>
            </w:r>
          </w:p>
          <w:p w:rsidR="00BE7F6B" w:rsidRPr="00825B0F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 w:rsidRPr="001F16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Mental Capacity Act, 2005; </w:t>
            </w:r>
            <w:r w:rsidRPr="001F16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Strauss et al, 2006;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Board of Directors (AACN), 2007); BPS, 2017, 2018)</w:t>
            </w:r>
            <w:r w:rsidRPr="001F16F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1104"/>
        </w:trPr>
        <w:tc>
          <w:tcPr>
            <w:tcW w:w="6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6B" w:rsidRDefault="00BE7F6B" w:rsidP="00BE7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Checks were made with the patient about usual visual/hearing aids, that they were used/worn used during the assessment OR commenting on potential effects of their absence</w:t>
            </w:r>
          </w:p>
          <w:p w:rsidR="00BE7F6B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(Strauss et al, 2006;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Lezak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et al, 2012)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1092"/>
        </w:trPr>
        <w:tc>
          <w:tcPr>
            <w:tcW w:w="6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6B" w:rsidRPr="00887DE2" w:rsidRDefault="00BE7F6B" w:rsidP="00BE7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87DE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Testing was completed by appropriately qualified professionals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and </w:t>
            </w:r>
            <w:r w:rsidRPr="00887DE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under appropriate clinical supervision in accordance with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relevant</w:t>
            </w:r>
            <w:r w:rsidRPr="00887DE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guidance (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in the UK, the BPS requires </w:t>
            </w:r>
            <w:r w:rsidRPr="00887DE2">
              <w:rPr>
                <w:rFonts w:ascii="Arial" w:eastAsia="Times New Roman" w:hAnsi="Arial" w:cs="Arial"/>
                <w:b/>
                <w:bCs/>
                <w:lang w:eastAsia="en-GB"/>
              </w:rPr>
              <w:t>GBC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(Graduate Basis for Chartered membership), and states </w:t>
            </w:r>
            <w:r w:rsidRPr="00887DE2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-</w:t>
            </w:r>
            <w:r w:rsidRPr="00887DE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hour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supervision per </w:t>
            </w:r>
            <w:r w:rsidRPr="00887DE2">
              <w:rPr>
                <w:rFonts w:ascii="Arial" w:eastAsia="Times New Roman" w:hAnsi="Arial" w:cs="Arial"/>
                <w:b/>
                <w:bCs/>
                <w:lang w:eastAsia="en-GB"/>
              </w:rPr>
              <w:t>wee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k</w:t>
            </w:r>
            <w:r w:rsidRPr="00887DE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for a full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-time assistant psychologist)</w:t>
            </w:r>
          </w:p>
          <w:p w:rsidR="00BE7F6B" w:rsidRPr="00887DE2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</w:t>
            </w:r>
            <w:r w:rsidRPr="00887D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International Test Commission, 2001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; Board of Directors (AACN), 2007; American Psych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Assoc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(APA), 2014: BPS, 2017a)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647"/>
        </w:trPr>
        <w:tc>
          <w:tcPr>
            <w:tcW w:w="6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6B" w:rsidRDefault="00BE7F6B" w:rsidP="00BE7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A f</w:t>
            </w:r>
            <w:r w:rsidRPr="000D762F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ace-to-face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(or video-call) fee</w:t>
            </w:r>
            <w:r w:rsidRPr="000D762F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dback session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was offered</w:t>
            </w:r>
          </w:p>
          <w:p w:rsidR="00BE7F6B" w:rsidRPr="003D4DA2" w:rsidRDefault="00BE7F6B" w:rsidP="003B56CD">
            <w:pPr>
              <w:pStyle w:val="ListParagraph"/>
              <w:spacing w:after="0" w:line="240" w:lineRule="auto"/>
              <w:ind w:left="35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D4D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(Pope, 1992; Poston &amp; Hanson, 2010; Postal &amp; Armstrong, 2013; </w:t>
            </w:r>
            <w:r w:rsidRPr="003D4DA2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NHS England, 2017;</w:t>
            </w:r>
            <w:r w:rsidRPr="003D4D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Rosado et al., 2017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647"/>
        </w:trPr>
        <w:tc>
          <w:tcPr>
            <w:tcW w:w="6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6B" w:rsidRDefault="00BE7F6B" w:rsidP="00BE7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D4DA2">
              <w:rPr>
                <w:rFonts w:ascii="Arial" w:eastAsia="Times New Roman" w:hAnsi="Arial" w:cs="Arial"/>
                <w:b/>
                <w:bCs/>
                <w:lang w:eastAsia="en-GB"/>
              </w:rPr>
              <w:t>A report detailing test outcomes and interpretation was written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  <w:p w:rsidR="00BE7F6B" w:rsidRPr="003D4DA2" w:rsidRDefault="00BE7F6B" w:rsidP="003B56CD">
            <w:pPr>
              <w:pStyle w:val="ListParagraph"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D4D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</w:t>
            </w:r>
            <w:proofErr w:type="spellStart"/>
            <w:r w:rsidRPr="003D4D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Donders</w:t>
            </w:r>
            <w:proofErr w:type="spellEnd"/>
            <w:r w:rsidRPr="003D4D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2001; Schoenberg &amp; Scott, 2011;  </w:t>
            </w:r>
            <w:proofErr w:type="spellStart"/>
            <w:r w:rsidRPr="003D4D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Lezak</w:t>
            </w:r>
            <w:proofErr w:type="spellEnd"/>
            <w:r w:rsidRPr="003D4D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et al, 2012; </w:t>
            </w:r>
            <w:proofErr w:type="spellStart"/>
            <w:r w:rsidRPr="003D4D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Mountjoy</w:t>
            </w:r>
            <w:proofErr w:type="spellEnd"/>
            <w:r w:rsidRPr="003D4D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et al, 2017)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647"/>
        </w:trPr>
        <w:tc>
          <w:tcPr>
            <w:tcW w:w="6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6B" w:rsidRPr="00845334" w:rsidRDefault="00BE7F6B" w:rsidP="00BE7F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Where ethnicity or cultural factors are identified, the impact of this in relation to specific tests are considered (e.g. how this may impact on effort or render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scores </w:t>
            </w: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invalid) </w:t>
            </w:r>
          </w:p>
          <w:p w:rsidR="00BE7F6B" w:rsidRPr="0001524F" w:rsidRDefault="00BE7F6B" w:rsidP="003B56CD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1524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(Brickman, Cabo &amp; Manly, 2006; Board of Directors (AACN), 2007; </w:t>
            </w:r>
            <w:proofErr w:type="spellStart"/>
            <w:r w:rsidRPr="0001524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Lezak</w:t>
            </w:r>
            <w:proofErr w:type="spellEnd"/>
            <w:r w:rsidRPr="0001524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et al, 2012, APA, 2014)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288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6B" w:rsidRPr="00E26C17" w:rsidRDefault="00BE7F6B" w:rsidP="003B56C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26C17">
              <w:rPr>
                <w:rFonts w:ascii="Arial" w:eastAsia="Times New Roman" w:hAnsi="Arial" w:cs="Arial"/>
                <w:color w:val="000000"/>
                <w:lang w:eastAsia="en-GB"/>
              </w:rPr>
              <w:t>Cultural issue identified and commented upon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F6B" w:rsidRPr="00E26C17" w:rsidRDefault="00BE7F6B" w:rsidP="003B56C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288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F6B" w:rsidRPr="00E26C17" w:rsidRDefault="00BE7F6B" w:rsidP="003B56C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26C17">
              <w:rPr>
                <w:rFonts w:ascii="Arial" w:eastAsia="Times New Roman" w:hAnsi="Arial" w:cs="Arial"/>
                <w:color w:val="000000"/>
                <w:lang w:eastAsia="en-GB"/>
              </w:rPr>
              <w:t>Cultural issue identified and not commented upon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F6B" w:rsidRPr="00E26C17" w:rsidRDefault="00BE7F6B" w:rsidP="003B56C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288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F6B" w:rsidRPr="00E26C17" w:rsidRDefault="00BE7F6B" w:rsidP="003B56C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26C17">
              <w:rPr>
                <w:rFonts w:ascii="Arial" w:eastAsia="Times New Roman" w:hAnsi="Arial" w:cs="Arial"/>
                <w:color w:val="000000"/>
                <w:lang w:eastAsia="en-GB"/>
              </w:rPr>
              <w:t>No obvious cultural issue present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F6B" w:rsidRPr="00E26C17" w:rsidRDefault="00BE7F6B" w:rsidP="003B56C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288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F6B" w:rsidRPr="00E26C17" w:rsidRDefault="00BE7F6B" w:rsidP="003B56C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26C17">
              <w:rPr>
                <w:rFonts w:ascii="Arial" w:eastAsia="Times New Roman" w:hAnsi="Arial" w:cs="Arial"/>
                <w:color w:val="000000"/>
                <w:lang w:eastAsia="en-GB"/>
              </w:rPr>
              <w:t>No report produced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F6B" w:rsidRPr="00E26C17" w:rsidRDefault="00BE7F6B" w:rsidP="003B56C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BE7F6B" w:rsidRDefault="00BE7F6B" w:rsidP="00BE7F6B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</w:p>
    <w:p w:rsidR="00BE7F6B" w:rsidRDefault="00BE7F6B" w:rsidP="00BE7F6B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</w:p>
    <w:p w:rsidR="00BE7F6B" w:rsidRDefault="00BE7F6B" w:rsidP="00BE7F6B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505" w:type="dxa"/>
        <w:tblInd w:w="534" w:type="dxa"/>
        <w:tblLook w:val="04A0" w:firstRow="1" w:lastRow="0" w:firstColumn="1" w:lastColumn="0" w:noHBand="0" w:noVBand="1"/>
      </w:tblPr>
      <w:tblGrid>
        <w:gridCol w:w="6662"/>
        <w:gridCol w:w="850"/>
        <w:gridCol w:w="993"/>
      </w:tblGrid>
      <w:tr w:rsidR="00BE7F6B" w:rsidRPr="00E26C17" w:rsidTr="003B56CD">
        <w:trPr>
          <w:trHeight w:val="59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E7F6B" w:rsidRPr="00E26C17" w:rsidRDefault="00BE7F6B" w:rsidP="003B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>
              <w:br w:type="page"/>
            </w:r>
            <w:r w:rsidRPr="005A3798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1b.</w:t>
            </w:r>
            <w:r w:rsidRPr="005A3798">
              <w:rPr>
                <w:u w:val="single"/>
              </w:rPr>
              <w:t xml:space="preserve"> </w:t>
            </w:r>
            <w:r w:rsidRPr="00E26C17">
              <w:rPr>
                <w:rFonts w:ascii="Arial" w:hAnsi="Arial" w:cs="Arial"/>
                <w:b/>
                <w:bCs/>
                <w:u w:val="single"/>
              </w:rPr>
              <w:t>R</w:t>
            </w:r>
            <w:r w:rsidRPr="00E26C1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EPORT STYLE AND CONTENT 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STANDARDS (CORE)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E7F6B" w:rsidRPr="00E26C17" w:rsidRDefault="00BE7F6B" w:rsidP="003B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26C1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E7F6B" w:rsidRPr="00E26C17" w:rsidRDefault="00BE7F6B" w:rsidP="003B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26C1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</w:t>
            </w:r>
          </w:p>
        </w:tc>
      </w:tr>
      <w:tr w:rsidR="00BE7F6B" w:rsidRPr="00E26C17" w:rsidTr="003B56CD">
        <w:trPr>
          <w:trHeight w:val="78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6B" w:rsidRPr="00845334" w:rsidRDefault="00BE7F6B" w:rsidP="00BE7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1.  </w:t>
            </w:r>
            <w:r w:rsidRPr="00E20ABD">
              <w:rPr>
                <w:rFonts w:ascii="Arial" w:eastAsia="Times New Roman" w:hAnsi="Arial" w:cs="Arial"/>
                <w:b/>
                <w:bCs/>
                <w:lang w:eastAsia="en-GB"/>
              </w:rPr>
              <w:t>The report is concise, not exceeding 4 sides of A4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124877">
              <w:rPr>
                <w:rFonts w:ascii="Arial" w:eastAsia="Times New Roman" w:hAnsi="Arial" w:cs="Arial"/>
                <w:b/>
                <w:bCs/>
                <w:i/>
                <w:lang w:eastAsia="en-GB"/>
              </w:rPr>
              <w:t>(or insert report length for the</w:t>
            </w:r>
            <w:r>
              <w:rPr>
                <w:rFonts w:ascii="Arial" w:eastAsia="Times New Roman" w:hAnsi="Arial" w:cs="Arial"/>
                <w:b/>
                <w:bCs/>
                <w:i/>
                <w:lang w:eastAsia="en-GB"/>
              </w:rPr>
              <w:t xml:space="preserve"> individual</w:t>
            </w:r>
            <w:r w:rsidRPr="00124877">
              <w:rPr>
                <w:rFonts w:ascii="Arial" w:eastAsia="Times New Roman" w:hAnsi="Arial" w:cs="Arial"/>
                <w:b/>
                <w:bCs/>
                <w:i/>
                <w:lang w:eastAsia="en-GB"/>
              </w:rPr>
              <w:t xml:space="preserve"> service as appropriate),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unless </w:t>
            </w:r>
            <w:r w:rsidRPr="00E20ABD">
              <w:rPr>
                <w:rFonts w:ascii="Arial" w:eastAsia="Times New Roman" w:hAnsi="Arial" w:cs="Arial"/>
                <w:b/>
                <w:bCs/>
                <w:lang w:eastAsia="en-GB"/>
              </w:rPr>
              <w:t>clinically necessary.</w:t>
            </w:r>
          </w:p>
          <w:p w:rsidR="00BE7F6B" w:rsidRPr="00BF2B3C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F2B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</w:t>
            </w:r>
            <w:proofErr w:type="spellStart"/>
            <w:r w:rsidRPr="00BF2B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Donders</w:t>
            </w:r>
            <w:proofErr w:type="spellEnd"/>
            <w:r w:rsidRPr="00BF2B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2001;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Strauss et al, 2006;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Donders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2016; Postal et al, 2017</w:t>
            </w:r>
            <w:r w:rsidRPr="00BF2B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86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6B" w:rsidRPr="005B18DE" w:rsidRDefault="00BE7F6B" w:rsidP="003B56C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2. </w:t>
            </w:r>
            <w:r w:rsidRPr="005B18D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Where appropriate, technical or scientific terms are applied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accurately and unambiguously.  Acronyms or </w:t>
            </w:r>
            <w:r w:rsidRPr="005B18D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difficult terms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explained/defined in the report</w:t>
            </w:r>
          </w:p>
          <w:p w:rsidR="00BE7F6B" w:rsidRPr="005B18DE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(Griffin &amp; Christie, 2008; </w:t>
            </w:r>
            <w:proofErr w:type="spellStart"/>
            <w:r w:rsidRPr="009C2C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Lezak</w:t>
            </w:r>
            <w:proofErr w:type="spellEnd"/>
            <w:r w:rsidRPr="009C2C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et al., </w:t>
            </w:r>
            <w:r w:rsidRPr="005B18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2012;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BPS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2012; APA, 2014)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564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6B" w:rsidRDefault="00BE7F6B" w:rsidP="00BE7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3. </w:t>
            </w:r>
            <w:r w:rsidRPr="0038219B">
              <w:rPr>
                <w:rFonts w:ascii="Arial" w:eastAsia="Times New Roman" w:hAnsi="Arial" w:cs="Arial"/>
                <w:b/>
                <w:bCs/>
                <w:lang w:eastAsia="en-GB"/>
              </w:rPr>
              <w:t>Includes a concise summary and conclusions section that draws the reader’s attention to the key points</w:t>
            </w:r>
          </w:p>
          <w:p w:rsidR="00BE7F6B" w:rsidRPr="00AA292A" w:rsidRDefault="00BE7F6B" w:rsidP="003B56CD">
            <w:pPr>
              <w:pStyle w:val="ListParagraph"/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2B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</w:t>
            </w:r>
            <w:proofErr w:type="spellStart"/>
            <w:r w:rsidRPr="00BF2B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Donders</w:t>
            </w:r>
            <w:proofErr w:type="spellEnd"/>
            <w:r w:rsidRPr="00BF2B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2001;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Gorske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Smith, 2009;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Tzotzoli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2012;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Donders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2016; Postal et al, 2017</w:t>
            </w:r>
            <w:r w:rsidRPr="00BF2B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57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6B" w:rsidRPr="00260E8E" w:rsidRDefault="00BE7F6B" w:rsidP="003B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4. </w:t>
            </w:r>
            <w:r w:rsidRPr="00260E8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Provides a clear description of the purpose of the referral/referral question. </w:t>
            </w:r>
          </w:p>
          <w:p w:rsidR="00BE7F6B" w:rsidRPr="005933DC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A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</w:t>
            </w:r>
            <w:proofErr w:type="spellStart"/>
            <w:r w:rsidRPr="00824A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Donders</w:t>
            </w:r>
            <w:proofErr w:type="spellEnd"/>
            <w:r w:rsidRPr="00824A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2001;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Griffin &amp; Christie, 2008;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Tzotzoli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2012;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Donders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2016</w:t>
            </w:r>
            <w:r w:rsidRPr="00824A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808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6B" w:rsidRDefault="00BE7F6B" w:rsidP="003B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5. </w:t>
            </w:r>
            <w:r w:rsidRPr="00E26C1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Qualitative descriptions of the patient’s mental health is corroborated with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self-report mood measure(s)</w:t>
            </w:r>
          </w:p>
          <w:p w:rsidR="00BE7F6B" w:rsidRPr="005933DC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2F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Strauss et al, 2006; Vogt et al, 2017; </w:t>
            </w:r>
            <w:proofErr w:type="spellStart"/>
            <w:r w:rsidRPr="009C2C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Lezak</w:t>
            </w:r>
            <w:proofErr w:type="spellEnd"/>
            <w:r w:rsidRPr="009C2C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et al., </w:t>
            </w:r>
            <w:r w:rsidRPr="00592F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12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6B" w:rsidRDefault="00BE7F6B" w:rsidP="003B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26C1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6.  Previous </w:t>
            </w:r>
            <w:r w:rsidRPr="009021EE">
              <w:rPr>
                <w:rFonts w:ascii="Arial" w:eastAsia="Times New Roman" w:hAnsi="Arial" w:cs="Arial"/>
                <w:b/>
                <w:bCs/>
                <w:lang w:eastAsia="en-GB"/>
              </w:rPr>
              <w:t>medical history</w:t>
            </w:r>
            <w:r w:rsidRPr="00E26C1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is documented in the clinical notes and considered within the report where appropriate. (Includes a summary of the patient’s past and present physical health and medical history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, or clearly points to where this can be obtained (i.e. a previous letter)</w:t>
            </w:r>
            <w:r w:rsidRPr="00E26C17">
              <w:rPr>
                <w:rFonts w:ascii="Arial" w:eastAsia="Times New Roman" w:hAnsi="Arial" w:cs="Arial"/>
                <w:b/>
                <w:bCs/>
                <w:lang w:eastAsia="en-GB"/>
              </w:rPr>
              <w:t>.)</w:t>
            </w:r>
          </w:p>
          <w:p w:rsidR="00BE7F6B" w:rsidRPr="00BD1300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D130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</w:t>
            </w:r>
            <w:proofErr w:type="spellStart"/>
            <w:r w:rsidRPr="00C91C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Tzotzoli</w:t>
            </w:r>
            <w:proofErr w:type="spellEnd"/>
            <w:r w:rsidRPr="00C91C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Lezak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et al, 2012</w:t>
            </w:r>
            <w:r w:rsidRPr="00BD130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111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6B" w:rsidRPr="00BE581B" w:rsidRDefault="00BE7F6B" w:rsidP="003B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7. </w:t>
            </w:r>
            <w:r w:rsidRPr="00BE581B">
              <w:rPr>
                <w:rFonts w:ascii="Arial" w:eastAsia="Times New Roman" w:hAnsi="Arial" w:cs="Arial"/>
                <w:b/>
                <w:bCs/>
                <w:lang w:eastAsia="en-GB"/>
              </w:rPr>
              <w:t>Current medications are documented in the clinical notes and the effects considered.  Where relevant this is documented in the report (</w:t>
            </w:r>
            <w:proofErr w:type="spellStart"/>
            <w:r w:rsidRPr="00BE581B">
              <w:rPr>
                <w:rFonts w:ascii="Arial" w:eastAsia="Times New Roman" w:hAnsi="Arial" w:cs="Arial"/>
                <w:b/>
                <w:bCs/>
                <w:lang w:eastAsia="en-GB"/>
              </w:rPr>
              <w:t>e.g</w:t>
            </w:r>
            <w:proofErr w:type="spellEnd"/>
            <w:r w:rsidRPr="00BE581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if they are likely to alter cognition?)    </w:t>
            </w:r>
          </w:p>
          <w:p w:rsidR="00BE7F6B" w:rsidRPr="00BE581B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E581B">
              <w:rPr>
                <w:rFonts w:ascii="Arial" w:hAnsi="Arial" w:cs="Arial"/>
                <w:sz w:val="16"/>
                <w:szCs w:val="16"/>
              </w:rPr>
              <w:t>(Board of Directors</w:t>
            </w:r>
            <w:r>
              <w:rPr>
                <w:rFonts w:ascii="Arial" w:hAnsi="Arial" w:cs="Arial"/>
                <w:sz w:val="16"/>
                <w:szCs w:val="16"/>
              </w:rPr>
              <w:t xml:space="preserve"> (AACN)</w:t>
            </w:r>
            <w:r w:rsidRPr="00BE581B">
              <w:rPr>
                <w:rFonts w:ascii="Arial" w:hAnsi="Arial" w:cs="Arial"/>
                <w:sz w:val="16"/>
                <w:szCs w:val="16"/>
              </w:rPr>
              <w:t>, 2007;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E581B">
              <w:rPr>
                <w:rFonts w:ascii="Arial" w:hAnsi="Arial" w:cs="Arial"/>
                <w:sz w:val="16"/>
                <w:szCs w:val="16"/>
              </w:rPr>
              <w:t>Boake</w:t>
            </w:r>
            <w:proofErr w:type="spellEnd"/>
            <w:r w:rsidRPr="00BE581B">
              <w:rPr>
                <w:rFonts w:ascii="Arial" w:hAnsi="Arial" w:cs="Arial"/>
                <w:sz w:val="16"/>
                <w:szCs w:val="16"/>
              </w:rPr>
              <w:t xml:space="preserve">, 2008; </w:t>
            </w:r>
            <w:proofErr w:type="spellStart"/>
            <w:r w:rsidRPr="009C2C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Lezak</w:t>
            </w:r>
            <w:proofErr w:type="spellEnd"/>
            <w:r w:rsidRPr="009C2C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et al., </w:t>
            </w:r>
            <w:r w:rsidRPr="00BE581B">
              <w:rPr>
                <w:rFonts w:ascii="Arial" w:hAnsi="Arial" w:cs="Arial"/>
                <w:sz w:val="16"/>
                <w:szCs w:val="16"/>
              </w:rPr>
              <w:t>2012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BPS, </w:t>
            </w:r>
            <w:r w:rsidRPr="00B325E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2019b</w:t>
            </w:r>
            <w:r w:rsidRPr="00BE581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111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6B" w:rsidRDefault="00BE7F6B" w:rsidP="003B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26C17">
              <w:rPr>
                <w:rFonts w:ascii="Arial" w:eastAsia="Times New Roman" w:hAnsi="Arial" w:cs="Arial"/>
                <w:b/>
                <w:bCs/>
                <w:lang w:eastAsia="en-GB"/>
              </w:rPr>
              <w:t>8.  Edu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</w:t>
            </w:r>
            <w:r w:rsidRPr="00E26C17">
              <w:rPr>
                <w:rFonts w:ascii="Arial" w:eastAsia="Times New Roman" w:hAnsi="Arial" w:cs="Arial"/>
                <w:b/>
                <w:bCs/>
                <w:lang w:eastAsia="en-GB"/>
              </w:rPr>
              <w:t>ational/vocational background was asked about and considered (as evidenced in clinical notes and/or neuro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E26C1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report) AND/OR a test of premorbid functioning was completed.  </w:t>
            </w:r>
          </w:p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C2AEF">
              <w:rPr>
                <w:rFonts w:ascii="Arial" w:hAnsi="Arial" w:cs="Arial"/>
                <w:sz w:val="16"/>
                <w:szCs w:val="16"/>
              </w:rPr>
              <w:t>(Board of Director</w:t>
            </w:r>
            <w:r>
              <w:rPr>
                <w:rFonts w:ascii="Arial" w:hAnsi="Arial" w:cs="Arial"/>
                <w:sz w:val="16"/>
                <w:szCs w:val="16"/>
              </w:rPr>
              <w:t>s (AACN)</w:t>
            </w:r>
            <w:r w:rsidRPr="006C2AEF">
              <w:rPr>
                <w:rFonts w:ascii="Arial" w:hAnsi="Arial" w:cs="Arial"/>
                <w:sz w:val="16"/>
                <w:szCs w:val="16"/>
              </w:rPr>
              <w:t xml:space="preserve">, 2007; </w:t>
            </w:r>
            <w:proofErr w:type="spellStart"/>
            <w:r w:rsidRPr="006C2AEF">
              <w:rPr>
                <w:rFonts w:ascii="Arial" w:hAnsi="Arial" w:cs="Arial"/>
                <w:sz w:val="16"/>
                <w:szCs w:val="16"/>
              </w:rPr>
              <w:t>Boake</w:t>
            </w:r>
            <w:proofErr w:type="spellEnd"/>
            <w:r w:rsidRPr="006C2AEF">
              <w:rPr>
                <w:rFonts w:ascii="Arial" w:hAnsi="Arial" w:cs="Arial"/>
                <w:sz w:val="16"/>
                <w:szCs w:val="16"/>
              </w:rPr>
              <w:t xml:space="preserve">, 2008; </w:t>
            </w:r>
            <w:proofErr w:type="spellStart"/>
            <w:r w:rsidRPr="009C2C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Lezak</w:t>
            </w:r>
            <w:proofErr w:type="spellEnd"/>
            <w:r w:rsidRPr="009C2C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et al., </w:t>
            </w:r>
            <w:r w:rsidRPr="006C2AEF">
              <w:rPr>
                <w:rFonts w:ascii="Arial" w:hAnsi="Arial" w:cs="Arial"/>
                <w:sz w:val="16"/>
                <w:szCs w:val="16"/>
              </w:rPr>
              <w:t>2012)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84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6B" w:rsidRDefault="00BE7F6B" w:rsidP="003B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26C1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9.  Outlines the </w:t>
            </w:r>
            <w:r w:rsidRPr="009233BB">
              <w:rPr>
                <w:rFonts w:ascii="Arial" w:eastAsia="Times New Roman" w:hAnsi="Arial" w:cs="Arial"/>
                <w:b/>
                <w:bCs/>
                <w:lang w:eastAsia="en-GB"/>
              </w:rPr>
              <w:t>patient’s current living circumstances, social history and, if relevant, family history of medical difficulties.</w:t>
            </w:r>
          </w:p>
          <w:p w:rsidR="00BE7F6B" w:rsidRPr="009233BB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23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Strauss et al, 2006;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Gorske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Smith, 2009;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Tzotzoli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2012; </w:t>
            </w:r>
            <w:proofErr w:type="spellStart"/>
            <w:r w:rsidRPr="00923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Lezak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et al</w:t>
            </w:r>
            <w:r w:rsidRPr="009233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2012)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69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6B" w:rsidRPr="00845334" w:rsidRDefault="00BE7F6B" w:rsidP="003B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26C1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10. 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P</w:t>
            </w: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>oints made are backed up with examples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/ data </w:t>
            </w: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>(e.g., direct quotations, test scores).</w:t>
            </w:r>
          </w:p>
          <w:p w:rsidR="00BE7F6B" w:rsidRPr="00592F7D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8663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</w:t>
            </w:r>
            <w:proofErr w:type="spellStart"/>
            <w:r w:rsidRPr="00C91C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Tzotzoli</w:t>
            </w:r>
            <w:proofErr w:type="spellEnd"/>
            <w:r w:rsidRPr="00C91C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; </w:t>
            </w:r>
            <w:r w:rsidRPr="008663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Schneider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et al</w:t>
            </w:r>
            <w:r w:rsidRPr="008663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gramStart"/>
            <w:r w:rsidRPr="008663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;</w:t>
            </w:r>
            <w:proofErr w:type="gramEnd"/>
            <w:r w:rsidRPr="008663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  <w:r w:rsidRPr="00592F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84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6B" w:rsidRDefault="00BE7F6B" w:rsidP="003B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26C1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11.  </w:t>
            </w:r>
            <w:r w:rsidRPr="001947F9">
              <w:rPr>
                <w:rFonts w:ascii="Arial" w:eastAsia="Times New Roman" w:hAnsi="Arial" w:cs="Arial"/>
                <w:b/>
                <w:bCs/>
                <w:lang w:eastAsia="en-GB"/>
              </w:rPr>
              <w:t>Process observations</w:t>
            </w:r>
            <w:r w:rsidRPr="00E26C1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are taken during testing, </w:t>
            </w:r>
            <w:r w:rsidRPr="00E86B17">
              <w:rPr>
                <w:rFonts w:ascii="Arial" w:eastAsia="Times New Roman" w:hAnsi="Arial" w:cs="Arial"/>
                <w:b/>
                <w:bCs/>
                <w:iCs/>
                <w:lang w:eastAsia="en-GB"/>
              </w:rPr>
              <w:t>and considered in the report.</w:t>
            </w:r>
            <w:r w:rsidRPr="00E26C1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(e.g. fatigue, anxiety, motivation) </w:t>
            </w:r>
          </w:p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842DF">
              <w:rPr>
                <w:rFonts w:ascii="Arial" w:hAnsi="Arial" w:cs="Arial"/>
                <w:sz w:val="16"/>
                <w:szCs w:val="16"/>
              </w:rPr>
              <w:t>Boake</w:t>
            </w:r>
            <w:proofErr w:type="spellEnd"/>
            <w:r w:rsidRPr="002842DF">
              <w:rPr>
                <w:rFonts w:ascii="Arial" w:hAnsi="Arial" w:cs="Arial"/>
                <w:sz w:val="16"/>
                <w:szCs w:val="16"/>
              </w:rPr>
              <w:t xml:space="preserve">, 2008; </w:t>
            </w:r>
            <w:proofErr w:type="spellStart"/>
            <w:r w:rsidRPr="009C2C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Lezak</w:t>
            </w:r>
            <w:proofErr w:type="spellEnd"/>
            <w:r w:rsidRPr="009C2C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et al.,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2012; </w:t>
            </w:r>
            <w:proofErr w:type="spellStart"/>
            <w:r w:rsidRPr="00C91C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Tzotzoli</w:t>
            </w:r>
            <w:proofErr w:type="spellEnd"/>
            <w:r w:rsidRPr="00C91C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;</w:t>
            </w:r>
            <w:r w:rsidRPr="002842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BPS</w:t>
            </w:r>
            <w:r w:rsidRPr="002842D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325E0">
              <w:rPr>
                <w:rFonts w:ascii="Arial" w:hAnsi="Arial" w:cs="Arial"/>
                <w:sz w:val="16"/>
                <w:szCs w:val="16"/>
              </w:rPr>
              <w:t>2019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12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6B" w:rsidRDefault="00BE7F6B" w:rsidP="003B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26C1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12.  Report contains evidence of </w:t>
            </w:r>
            <w:r w:rsidRPr="00FA4453">
              <w:rPr>
                <w:rFonts w:ascii="Arial" w:eastAsia="Times New Roman" w:hAnsi="Arial" w:cs="Arial"/>
                <w:b/>
                <w:bCs/>
                <w:lang w:eastAsia="en-GB"/>
              </w:rPr>
              <w:t>formulation/ synthesising/ integrating</w:t>
            </w:r>
            <w:r w:rsidRPr="00E26C1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data to reach clinical conclusions e.g. any potential confounding factors (e.g., depression, anxiety, fatigue) are outlined, as well as their potential implications for test validity.  </w:t>
            </w:r>
          </w:p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432AE">
              <w:rPr>
                <w:rFonts w:ascii="Arial" w:hAnsi="Arial" w:cs="Arial"/>
                <w:color w:val="000000" w:themeColor="text1"/>
                <w:sz w:val="16"/>
                <w:szCs w:val="16"/>
              </w:rPr>
              <w:t>(Board of Directors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(AACN), 200</w:t>
            </w:r>
            <w:r w:rsidRPr="009432AE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Gorske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&amp; Smith, 2009</w:t>
            </w:r>
            <w:r w:rsidRPr="009432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; </w:t>
            </w:r>
            <w:proofErr w:type="spellStart"/>
            <w:r w:rsidRPr="009432AE">
              <w:rPr>
                <w:rFonts w:ascii="Arial" w:hAnsi="Arial" w:cs="Arial"/>
                <w:color w:val="000000" w:themeColor="text1"/>
                <w:sz w:val="16"/>
                <w:szCs w:val="16"/>
              </w:rPr>
              <w:t>Jurado</w:t>
            </w:r>
            <w:proofErr w:type="spellEnd"/>
            <w:r w:rsidRPr="009432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9432AE">
              <w:rPr>
                <w:rFonts w:ascii="Arial" w:hAnsi="Arial" w:cs="Arial"/>
                <w:color w:val="000000" w:themeColor="text1"/>
                <w:sz w:val="16"/>
                <w:szCs w:val="16"/>
              </w:rPr>
              <w:t>Pueyo</w:t>
            </w:r>
            <w:proofErr w:type="spellEnd"/>
            <w:r w:rsidRPr="009432AE">
              <w:rPr>
                <w:rFonts w:ascii="Arial" w:hAnsi="Arial" w:cs="Arial"/>
                <w:color w:val="000000" w:themeColor="text1"/>
                <w:sz w:val="16"/>
                <w:szCs w:val="16"/>
              </w:rPr>
              <w:t>, 2012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; APA, 2014;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Mountjoy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et al, 2017</w:t>
            </w:r>
            <w:r w:rsidRPr="009432AE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9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6B" w:rsidRPr="00BE7F6B" w:rsidRDefault="00BE7F6B" w:rsidP="003B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E7F6B">
              <w:rPr>
                <w:rFonts w:ascii="Arial" w:eastAsia="Times New Roman" w:hAnsi="Arial" w:cs="Arial"/>
                <w:b/>
                <w:bCs/>
                <w:lang w:eastAsia="en-GB"/>
              </w:rPr>
              <w:t>13.  Objective assessment of performance validity (effort) is evidenced and referred to in the report</w:t>
            </w:r>
          </w:p>
          <w:p w:rsidR="00BE7F6B" w:rsidRPr="00BE7F6B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E7F6B">
              <w:rPr>
                <w:rFonts w:ascii="Arial" w:hAnsi="Arial" w:cs="Arial"/>
                <w:sz w:val="16"/>
                <w:szCs w:val="16"/>
              </w:rPr>
              <w:t xml:space="preserve">(Bush et al., 2005; Sweet el al, 2021, and </w:t>
            </w:r>
            <w:proofErr w:type="spellStart"/>
            <w:r w:rsidRPr="00BE7F6B">
              <w:rPr>
                <w:rFonts w:ascii="Arial" w:hAnsi="Arial" w:cs="Arial"/>
                <w:sz w:val="16"/>
                <w:szCs w:val="16"/>
              </w:rPr>
              <w:t>Heilbronner</w:t>
            </w:r>
            <w:proofErr w:type="spellEnd"/>
            <w:r w:rsidRPr="00BE7F6B">
              <w:rPr>
                <w:rFonts w:ascii="Arial" w:hAnsi="Arial" w:cs="Arial"/>
                <w:sz w:val="16"/>
                <w:szCs w:val="16"/>
              </w:rPr>
              <w:t xml:space="preserve"> et al 2008 (both representing AACN); BPS, 2009; BPS, 2021; </w:t>
            </w:r>
            <w:proofErr w:type="spellStart"/>
            <w:r w:rsidRPr="00BE7F6B">
              <w:rPr>
                <w:rFonts w:ascii="Arial" w:hAnsi="Arial" w:cs="Arial"/>
                <w:sz w:val="16"/>
                <w:szCs w:val="16"/>
              </w:rPr>
              <w:t>Lezak</w:t>
            </w:r>
            <w:proofErr w:type="spellEnd"/>
            <w:r w:rsidRPr="00BE7F6B">
              <w:rPr>
                <w:rFonts w:ascii="Arial" w:hAnsi="Arial" w:cs="Arial"/>
                <w:sz w:val="16"/>
                <w:szCs w:val="16"/>
              </w:rPr>
              <w:t xml:space="preserve"> et al, 2012)</w:t>
            </w:r>
            <w:r w:rsidRPr="00BE7F6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89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6B" w:rsidRPr="00BE7F6B" w:rsidRDefault="00BE7F6B" w:rsidP="003B56C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BE7F6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14.  Use of consistent test score labels/descriptors to describe test scores, agreed across the service </w:t>
            </w:r>
            <w:r w:rsidRPr="00BE7F6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(e.g. extremely high score, high score, above average score, average score, below average score, low score, extremely low score)</w:t>
            </w:r>
          </w:p>
          <w:p w:rsidR="00BE7F6B" w:rsidRPr="00BE7F6B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BE7F6B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(</w:t>
            </w:r>
            <w:proofErr w:type="spellStart"/>
            <w:r w:rsidRPr="00BE7F6B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Guilmette</w:t>
            </w:r>
            <w:proofErr w:type="spellEnd"/>
            <w:r w:rsidRPr="00BE7F6B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 xml:space="preserve"> et al, 2020; BPS, 2018a)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89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6B" w:rsidRPr="00BE7F6B" w:rsidRDefault="00BE7F6B" w:rsidP="003B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E7F6B">
              <w:rPr>
                <w:rFonts w:ascii="Arial" w:eastAsia="Times New Roman" w:hAnsi="Arial" w:cs="Arial"/>
                <w:b/>
                <w:bCs/>
                <w:lang w:eastAsia="en-GB"/>
              </w:rPr>
              <w:t>15.   Conclusions make sense in the context of the report: they are well formulated based on the evidence gathered in the assessment.</w:t>
            </w:r>
          </w:p>
          <w:p w:rsidR="00BE7F6B" w:rsidRPr="00BE7F6B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E7F6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(Schoenberg &amp; Scott, 2011;  </w:t>
            </w:r>
            <w:proofErr w:type="spellStart"/>
            <w:r w:rsidRPr="00BE7F6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Donders</w:t>
            </w:r>
            <w:proofErr w:type="spellEnd"/>
            <w:r w:rsidRPr="00BE7F6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2016; BPS, 2019b)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85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6B" w:rsidRDefault="00BE7F6B" w:rsidP="003B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16</w:t>
            </w:r>
            <w:r w:rsidRPr="00E26C1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The patient’s</w:t>
            </w:r>
            <w:r w:rsidRPr="00E26C1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views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/comments/</w:t>
            </w:r>
            <w:r w:rsidRPr="00E26C1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opinion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from</w:t>
            </w:r>
            <w:r w:rsidRPr="00E26C1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their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verbal </w:t>
            </w:r>
            <w:r w:rsidRPr="00E26C1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feedback is reflected appropriately in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the </w:t>
            </w:r>
            <w:r w:rsidRPr="00E26C17">
              <w:rPr>
                <w:rFonts w:ascii="Arial" w:eastAsia="Times New Roman" w:hAnsi="Arial" w:cs="Arial"/>
                <w:b/>
                <w:bCs/>
                <w:lang w:eastAsia="en-GB"/>
              </w:rPr>
              <w:t>report where appropriate.</w:t>
            </w:r>
          </w:p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(Pope, 1992; Griffin &amp; Christie, 2008; </w:t>
            </w:r>
            <w:proofErr w:type="spellStart"/>
            <w:r w:rsidRPr="009C2C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Lezak</w:t>
            </w:r>
            <w:proofErr w:type="spellEnd"/>
            <w:r w:rsidRPr="009C2C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et al.,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;</w:t>
            </w:r>
            <w:r w:rsidRPr="009C2C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NH</w:t>
            </w:r>
            <w:r w:rsidRPr="004A6D67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S.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 xml:space="preserve"> England, </w:t>
            </w:r>
            <w:r w:rsidRPr="004A6D67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2017;</w:t>
            </w:r>
            <w:r w:rsidRPr="004A6D6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9C2C9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Rosado et al., 2017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Mountjoy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et al, 2017)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84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6B" w:rsidRDefault="00BE7F6B" w:rsidP="003B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17.  R</w:t>
            </w:r>
            <w:r w:rsidRPr="00E26C1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eport concludes with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recommendations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en-GB"/>
              </w:rPr>
              <w:t>e.g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for symptom management /</w:t>
            </w:r>
            <w:r w:rsidRPr="00E26C1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referral on / further </w:t>
            </w:r>
            <w:r w:rsidRPr="00E26C17">
              <w:rPr>
                <w:rFonts w:ascii="Arial" w:eastAsia="Times New Roman" w:hAnsi="Arial" w:cs="Arial"/>
                <w:b/>
                <w:bCs/>
                <w:lang w:eastAsia="en-GB"/>
              </w:rPr>
              <w:t>clinical input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/ discharge from the service).</w:t>
            </w:r>
          </w:p>
          <w:p w:rsidR="00BE7F6B" w:rsidRPr="008D661B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8D661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(Board of Directors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(AACN)</w:t>
            </w:r>
            <w:r w:rsidRPr="008D661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2007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Tzotzoli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2012; Postal et al, 2017</w:t>
            </w:r>
            <w:r w:rsidRPr="008D661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41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6B" w:rsidRDefault="00BE7F6B" w:rsidP="003B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18</w:t>
            </w:r>
            <w:r w:rsidRPr="00E26C1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.  Patient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is copied into report (unless they express a wish not to receive it, or can access their own medical records)</w:t>
            </w:r>
          </w:p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F000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Minhas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, 2007; </w:t>
            </w:r>
            <w:r w:rsidRPr="006F000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Newton, 2008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; Academy of Medical Royal Colleges, 2018; NHS England, 2018</w:t>
            </w:r>
            <w:r w:rsidRPr="006F000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901C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:rsidR="00BE7F6B" w:rsidRDefault="00BE7F6B" w:rsidP="00BE7F6B"/>
    <w:tbl>
      <w:tblPr>
        <w:tblW w:w="8505" w:type="dxa"/>
        <w:tblInd w:w="534" w:type="dxa"/>
        <w:tblLook w:val="04A0" w:firstRow="1" w:lastRow="0" w:firstColumn="1" w:lastColumn="0" w:noHBand="0" w:noVBand="1"/>
      </w:tblPr>
      <w:tblGrid>
        <w:gridCol w:w="5982"/>
        <w:gridCol w:w="716"/>
        <w:gridCol w:w="814"/>
        <w:gridCol w:w="993"/>
      </w:tblGrid>
      <w:tr w:rsidR="00BE7F6B" w:rsidRPr="00E26C17" w:rsidTr="003B56CD">
        <w:trPr>
          <w:trHeight w:val="545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E7F6B" w:rsidRPr="00E26C17" w:rsidRDefault="00BE7F6B" w:rsidP="003B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293485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 xml:space="preserve">1c. </w:t>
            </w:r>
            <w:r w:rsidRPr="00E26C1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PROCESS 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STANDARDS (</w:t>
            </w:r>
            <w:r w:rsidRPr="00E26C1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SUPPLEMENTARY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E7F6B" w:rsidRPr="00E26C17" w:rsidRDefault="00BE7F6B" w:rsidP="003B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26C1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E7F6B" w:rsidRPr="00E26C17" w:rsidRDefault="00BE7F6B" w:rsidP="003B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26C1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</w:t>
            </w:r>
          </w:p>
        </w:tc>
      </w:tr>
      <w:tr w:rsidR="00BE7F6B" w:rsidRPr="00E26C17" w:rsidTr="003B56CD">
        <w:trPr>
          <w:trHeight w:val="552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6B" w:rsidRPr="00845334" w:rsidRDefault="00BE7F6B" w:rsidP="00BE7F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>Clinical notes made/held for every face-to-face session</w:t>
            </w:r>
          </w:p>
          <w:p w:rsidR="00BE7F6B" w:rsidRPr="00845334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8453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APA, 2016; BPS, 2018, 2019</w:t>
            </w:r>
            <w:r w:rsidRPr="008453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699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6B" w:rsidRPr="00845334" w:rsidRDefault="00BE7F6B" w:rsidP="00BE7F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Feedback session offered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in a timely manner </w:t>
            </w:r>
            <w:r w:rsidRPr="00C26DC1">
              <w:rPr>
                <w:rFonts w:ascii="Arial" w:eastAsia="Times New Roman" w:hAnsi="Arial" w:cs="Arial"/>
                <w:b/>
                <w:bCs/>
                <w:i/>
                <w:lang w:eastAsia="en-GB"/>
              </w:rPr>
              <w:t>(within 4 weeks of test completion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, </w:t>
            </w:r>
            <w:r w:rsidRPr="005A1301">
              <w:rPr>
                <w:rFonts w:ascii="Arial" w:eastAsia="Times New Roman" w:hAnsi="Arial" w:cs="Arial"/>
                <w:b/>
                <w:bCs/>
                <w:i/>
                <w:lang w:eastAsia="en-GB"/>
              </w:rPr>
              <w:t xml:space="preserve">or insert timescale as appropriate to the </w:t>
            </w:r>
            <w:r>
              <w:rPr>
                <w:rFonts w:ascii="Arial" w:eastAsia="Times New Roman" w:hAnsi="Arial" w:cs="Arial"/>
                <w:b/>
                <w:bCs/>
                <w:i/>
                <w:lang w:eastAsia="en-GB"/>
              </w:rPr>
              <w:t xml:space="preserve">individual </w:t>
            </w:r>
            <w:r w:rsidRPr="005A1301">
              <w:rPr>
                <w:rFonts w:ascii="Arial" w:eastAsia="Times New Roman" w:hAnsi="Arial" w:cs="Arial"/>
                <w:b/>
                <w:bCs/>
                <w:i/>
                <w:lang w:eastAsia="en-GB"/>
              </w:rPr>
              <w:t>service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</w:p>
          <w:p w:rsidR="00BE7F6B" w:rsidRPr="00845334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453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Pope, 1992; Board of Directors (AACN) 2007;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Gorske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Smith, 2009</w:t>
            </w:r>
            <w:r w:rsidRPr="008453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E7F6B" w:rsidRPr="00D93046" w:rsidTr="003B56CD">
        <w:trPr>
          <w:trHeight w:val="288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B" w:rsidRPr="00845334" w:rsidRDefault="00BE7F6B" w:rsidP="003B56C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45334">
              <w:rPr>
                <w:rFonts w:ascii="Arial" w:eastAsia="Times New Roman" w:hAnsi="Arial" w:cs="Arial"/>
                <w:color w:val="000000"/>
                <w:lang w:eastAsia="en-GB"/>
              </w:rPr>
              <w:t>Feedback within 4 weeks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F6B" w:rsidRPr="00845334" w:rsidRDefault="00BE7F6B" w:rsidP="003B56C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D93046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D93046" w:rsidRDefault="00BE7F6B" w:rsidP="003B5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E7F6B" w:rsidRPr="00D93046" w:rsidTr="003B56CD">
        <w:trPr>
          <w:trHeight w:val="288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B" w:rsidRPr="00845334" w:rsidRDefault="00BE7F6B" w:rsidP="003B56C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45334">
              <w:rPr>
                <w:rFonts w:ascii="Arial" w:eastAsia="Times New Roman" w:hAnsi="Arial" w:cs="Arial"/>
                <w:color w:val="000000"/>
                <w:lang w:eastAsia="en-GB"/>
              </w:rPr>
              <w:t xml:space="preserve">Feedback outside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of </w:t>
            </w:r>
            <w:r w:rsidRPr="00845334">
              <w:rPr>
                <w:rFonts w:ascii="Arial" w:eastAsia="Times New Roman" w:hAnsi="Arial" w:cs="Arial"/>
                <w:color w:val="000000"/>
                <w:lang w:eastAsia="en-GB"/>
              </w:rPr>
              <w:t>4 weeks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F6B" w:rsidRPr="00845334" w:rsidRDefault="00BE7F6B" w:rsidP="003B56C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D93046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D93046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E7F6B" w:rsidRPr="00D93046" w:rsidTr="003B56CD">
        <w:trPr>
          <w:trHeight w:val="288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B" w:rsidRPr="00845334" w:rsidRDefault="00BE7F6B" w:rsidP="003B56C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45334">
              <w:rPr>
                <w:rFonts w:ascii="Arial" w:eastAsia="Times New Roman" w:hAnsi="Arial" w:cs="Arial"/>
                <w:color w:val="000000"/>
                <w:lang w:eastAsia="en-GB"/>
              </w:rPr>
              <w:t xml:space="preserve">No report, no feedback recorded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F6B" w:rsidRPr="00845334" w:rsidRDefault="00BE7F6B" w:rsidP="003B56C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D93046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D93046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840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E7F6B" w:rsidRPr="008D7FFE" w:rsidRDefault="00BE7F6B" w:rsidP="003B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3. </w:t>
            </w:r>
            <w:r w:rsidRPr="008D7FFE">
              <w:rPr>
                <w:rFonts w:ascii="Arial" w:eastAsia="Times New Roman" w:hAnsi="Arial" w:cs="Arial"/>
                <w:b/>
                <w:bCs/>
                <w:lang w:eastAsia="en-GB"/>
              </w:rPr>
              <w:t>Where risk issues are identified during the process, the report outlines these and explains how they are being managed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.</w:t>
            </w:r>
          </w:p>
          <w:p w:rsidR="00BE7F6B" w:rsidRPr="009A40EC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A40E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</w:t>
            </w:r>
            <w:r w:rsidRPr="00DA69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APA, 2016</w:t>
            </w:r>
            <w:r w:rsidRPr="00DA697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;</w:t>
            </w:r>
            <w:r w:rsidRPr="00DA69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BPS</w:t>
            </w:r>
            <w:r w:rsidRPr="009A40E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2017)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288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6B" w:rsidRPr="00E26C17" w:rsidRDefault="00BE7F6B" w:rsidP="003B56CD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en-GB"/>
              </w:rPr>
            </w:pPr>
            <w:r w:rsidRPr="00E26C17">
              <w:rPr>
                <w:rFonts w:ascii="Arial" w:eastAsia="Times New Roman" w:hAnsi="Arial" w:cs="Arial"/>
                <w:lang w:eastAsia="en-GB"/>
              </w:rPr>
              <w:t>No risk identified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6B" w:rsidRPr="00E26C17" w:rsidRDefault="00BE7F6B" w:rsidP="003B56CD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1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288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6B" w:rsidRPr="00E26C17" w:rsidRDefault="00BE7F6B" w:rsidP="003B56CD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en-GB"/>
              </w:rPr>
            </w:pPr>
            <w:r w:rsidRPr="00E26C17">
              <w:rPr>
                <w:rFonts w:ascii="Arial" w:eastAsia="Times New Roman" w:hAnsi="Arial" w:cs="Arial"/>
                <w:lang w:eastAsia="en-GB"/>
              </w:rPr>
              <w:t xml:space="preserve">Risk </w:t>
            </w:r>
            <w:r>
              <w:rPr>
                <w:rFonts w:ascii="Arial" w:eastAsia="Times New Roman" w:hAnsi="Arial" w:cs="Arial"/>
                <w:lang w:eastAsia="en-GB"/>
              </w:rPr>
              <w:t>i</w:t>
            </w:r>
            <w:r w:rsidRPr="00E26C17">
              <w:rPr>
                <w:rFonts w:ascii="Arial" w:eastAsia="Times New Roman" w:hAnsi="Arial" w:cs="Arial"/>
                <w:lang w:eastAsia="en-GB"/>
              </w:rPr>
              <w:t xml:space="preserve">dentified &amp; reported on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6B" w:rsidRPr="00E26C17" w:rsidRDefault="00BE7F6B" w:rsidP="003B56CD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288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6B" w:rsidRPr="00E26C17" w:rsidRDefault="00BE7F6B" w:rsidP="003B56CD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en-GB"/>
              </w:rPr>
            </w:pPr>
            <w:r w:rsidRPr="00E26C17">
              <w:rPr>
                <w:rFonts w:ascii="Arial" w:eastAsia="Times New Roman" w:hAnsi="Arial" w:cs="Arial"/>
                <w:lang w:eastAsia="en-GB"/>
              </w:rPr>
              <w:t>Risk identified &amp; not reported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6B" w:rsidRPr="00E26C17" w:rsidRDefault="00BE7F6B" w:rsidP="003B56CD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288"/>
        </w:trPr>
        <w:tc>
          <w:tcPr>
            <w:tcW w:w="5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B" w:rsidRPr="00E26C17" w:rsidRDefault="00BE7F6B" w:rsidP="003B56C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26C17">
              <w:rPr>
                <w:rFonts w:ascii="Arial" w:eastAsia="Times New Roman" w:hAnsi="Arial" w:cs="Arial"/>
                <w:color w:val="000000"/>
                <w:lang w:eastAsia="en-GB"/>
              </w:rPr>
              <w:t>No report written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F6B" w:rsidRPr="00E26C17" w:rsidRDefault="00BE7F6B" w:rsidP="003B56C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560"/>
        </w:trPr>
        <w:tc>
          <w:tcPr>
            <w:tcW w:w="6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Default="00BE7F6B" w:rsidP="003B56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4. Discussions about whom the report is to be shared with are documented.</w:t>
            </w:r>
          </w:p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301D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Board of Directors (AACN), 2007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560"/>
        </w:trPr>
        <w:tc>
          <w:tcPr>
            <w:tcW w:w="6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Default="00BE7F6B" w:rsidP="003B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5. A</w:t>
            </w:r>
            <w:r w:rsidRPr="00887DE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service </w:t>
            </w:r>
            <w:r w:rsidRPr="00887DE2">
              <w:rPr>
                <w:rFonts w:ascii="Arial" w:eastAsia="Times New Roman" w:hAnsi="Arial" w:cs="Arial"/>
                <w:b/>
                <w:bCs/>
                <w:lang w:eastAsia="en-GB"/>
              </w:rPr>
              <w:t>leafl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et detailing what to expect </w:t>
            </w:r>
            <w:r w:rsidRPr="00887DE2">
              <w:rPr>
                <w:rFonts w:ascii="Arial" w:eastAsia="Times New Roman" w:hAnsi="Arial" w:cs="Arial"/>
                <w:b/>
                <w:bCs/>
                <w:lang w:eastAsia="en-GB"/>
              </w:rPr>
              <w:t>in the neuropsychological a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ssessment was given.</w:t>
            </w:r>
          </w:p>
          <w:p w:rsidR="00BE7F6B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(BPS</w:t>
            </w:r>
            <w:r w:rsidRPr="002F1F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2019a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288"/>
        </w:trPr>
        <w:tc>
          <w:tcPr>
            <w:tcW w:w="6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F6B" w:rsidRDefault="00BE7F6B" w:rsidP="003B56C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BE7F6B" w:rsidRDefault="00BE7F6B" w:rsidP="003B56C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BE7F6B" w:rsidRDefault="00BE7F6B" w:rsidP="003B56C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BE7F6B" w:rsidRPr="00E26C17" w:rsidRDefault="00BE7F6B" w:rsidP="003B56C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F6B" w:rsidRPr="00E26C17" w:rsidRDefault="00BE7F6B" w:rsidP="003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F6B" w:rsidRDefault="00BE7F6B" w:rsidP="003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7F6B" w:rsidRDefault="00BE7F6B" w:rsidP="003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7F6B" w:rsidRDefault="00BE7F6B" w:rsidP="003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7F6B" w:rsidRDefault="00BE7F6B" w:rsidP="003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7F6B" w:rsidRDefault="00BE7F6B" w:rsidP="003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7F6B" w:rsidRDefault="00BE7F6B" w:rsidP="003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7F6B" w:rsidRDefault="00BE7F6B" w:rsidP="003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7F6B" w:rsidRPr="00E26C17" w:rsidRDefault="00BE7F6B" w:rsidP="003B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7F6B" w:rsidRPr="00E26C17" w:rsidTr="003B56CD">
        <w:trPr>
          <w:trHeight w:val="828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E7F6B" w:rsidRPr="00845334" w:rsidRDefault="00BE7F6B" w:rsidP="003B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r w:rsidRPr="00293485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 xml:space="preserve">1d. </w:t>
            </w:r>
            <w:r w:rsidRPr="00845334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REPORT STYLE AND CONTENT STANDARDS (SUPPLEMENTARY)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E7F6B" w:rsidRPr="00E26C17" w:rsidRDefault="00BE7F6B" w:rsidP="003B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26C1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E7F6B" w:rsidRPr="00E26C17" w:rsidRDefault="00BE7F6B" w:rsidP="003B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26C1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</w:t>
            </w:r>
          </w:p>
        </w:tc>
      </w:tr>
      <w:tr w:rsidR="00BE7F6B" w:rsidRPr="00E26C17" w:rsidTr="003B56CD">
        <w:trPr>
          <w:trHeight w:val="564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E7F6B" w:rsidRPr="00845334" w:rsidRDefault="00BE7F6B" w:rsidP="00BE7F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>1. Uses informative headings or a clear structure that enable easy access to important information.</w:t>
            </w:r>
          </w:p>
          <w:p w:rsidR="00BE7F6B" w:rsidRPr="00845334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453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Tzotzoli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2012; </w:t>
            </w:r>
            <w:r w:rsidRPr="008453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Schneider et al., 2018)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564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E7F6B" w:rsidRPr="00845334" w:rsidRDefault="00BE7F6B" w:rsidP="00BE7F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2. Writing style avoids repetition of information in the same sections </w:t>
            </w:r>
          </w:p>
          <w:p w:rsidR="00BE7F6B" w:rsidRPr="00845334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453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Strauss et al, 2006;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Donders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2016; </w:t>
            </w:r>
            <w:r w:rsidRPr="008453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Schneider et al., 2018)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1116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E7F6B" w:rsidRPr="00845334" w:rsidRDefault="00BE7F6B" w:rsidP="00BE7F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3. Reports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observations/test </w:t>
            </w: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performance on </w:t>
            </w:r>
            <w:r w:rsidRPr="00994177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memory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function. (e.g.</w:t>
            </w: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orientation,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working memory, </w:t>
            </w: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>verbal, visual learning, autobiographical, recall/recognition, immediate and delayed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, prospective)</w:t>
            </w:r>
          </w:p>
          <w:p w:rsidR="00BE7F6B" w:rsidRPr="00845334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453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Vogt et al, 2017; </w:t>
            </w:r>
            <w:r w:rsidRPr="008453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Schneider et al., 2018)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878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E7F6B" w:rsidRPr="00845334" w:rsidRDefault="00BE7F6B" w:rsidP="00BE7F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4. Reports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observations/test </w:t>
            </w: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>performan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ce </w:t>
            </w: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on </w:t>
            </w:r>
            <w:r w:rsidRPr="00994177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language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skills.</w:t>
            </w: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(e.g. </w:t>
            </w: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spontaneous speech,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word-finding, </w:t>
            </w: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>reading, writing, repetition, comprehension, naming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</w:p>
          <w:p w:rsidR="00BE7F6B" w:rsidRPr="00845334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453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Vogt et al, 2017; </w:t>
            </w:r>
            <w:r w:rsidRPr="008453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Schneider et al., 2018)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1132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E7F6B" w:rsidRPr="00ED4478" w:rsidRDefault="00BE7F6B" w:rsidP="00BE7F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D447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5. Reports performance on tests/observations of </w:t>
            </w:r>
            <w:r w:rsidRPr="00ED4478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attention/</w:t>
            </w:r>
            <w:r w:rsidRPr="00ED447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ED4478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executive function</w:t>
            </w:r>
            <w:r w:rsidRPr="00ED447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(e.g. initiation, attention, fluency, rule adherence, set shifting, planning, approach to tests, ability to hold in mind test rules, inhibition, impulsivity, empathy)</w:t>
            </w:r>
          </w:p>
          <w:p w:rsidR="00BE7F6B" w:rsidRPr="00ED4478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D447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(Vogt et al, 2017; Schneider et al., 2018)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836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E7F6B" w:rsidRPr="00845334" w:rsidRDefault="00BE7F6B" w:rsidP="00BE7F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6. Reports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observations/test </w:t>
            </w: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performance on </w:t>
            </w:r>
            <w:r w:rsidRPr="00994177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processing speed</w:t>
            </w: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(e.g. s</w:t>
            </w: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>peed of info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rmation processing, speed of responses, motor speed)</w:t>
            </w:r>
          </w:p>
          <w:p w:rsidR="00BE7F6B" w:rsidRPr="00845334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453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(Schneider et al., 2018)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840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E7F6B" w:rsidRPr="00845334" w:rsidRDefault="00BE7F6B" w:rsidP="00BE7F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7. Reports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observations/test </w:t>
            </w: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>performan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ce on </w:t>
            </w:r>
            <w:r w:rsidRPr="00994177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visuospatial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abilities</w:t>
            </w: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(e.g. </w:t>
            </w: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>line orientation, figure copy, visual scanning, drawing, clock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drawing)</w:t>
            </w:r>
          </w:p>
          <w:p w:rsidR="00BE7F6B" w:rsidRPr="00845334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453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Vogt et al, 2017; </w:t>
            </w:r>
            <w:r w:rsidRPr="008453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Schneider et al., 2018)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E7F6B" w:rsidRPr="00E26C17" w:rsidTr="003B56CD">
        <w:trPr>
          <w:trHeight w:val="844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E7F6B" w:rsidRPr="00845334" w:rsidRDefault="00BE7F6B" w:rsidP="00BE7F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8. Summary of findings from range of different sources (e.g.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collateral data</w:t>
            </w: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clinical history, session </w:t>
            </w: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observations, test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scores</w:t>
            </w:r>
            <w:r w:rsidRPr="0084533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etc.) and congruence between sources.</w:t>
            </w:r>
          </w:p>
          <w:p w:rsidR="00BE7F6B" w:rsidRPr="00845334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453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</w:t>
            </w:r>
            <w:r w:rsidRPr="005A130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Schoenberg &amp; Scott, 2011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;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Tzotzoli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2012; </w:t>
            </w:r>
            <w:r w:rsidRPr="008453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Schneider et al., 2018)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6B" w:rsidRPr="00E26C17" w:rsidRDefault="00BE7F6B" w:rsidP="003B5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C50B47" w:rsidRDefault="00C50B47"/>
    <w:sectPr w:rsidR="00C50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C0B"/>
    <w:multiLevelType w:val="hybridMultilevel"/>
    <w:tmpl w:val="23864CC8"/>
    <w:lvl w:ilvl="0" w:tplc="43269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4C0DE5"/>
    <w:multiLevelType w:val="hybridMultilevel"/>
    <w:tmpl w:val="6A2A48F4"/>
    <w:lvl w:ilvl="0" w:tplc="874E5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614907"/>
    <w:multiLevelType w:val="hybridMultilevel"/>
    <w:tmpl w:val="1B469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048D8"/>
    <w:multiLevelType w:val="hybridMultilevel"/>
    <w:tmpl w:val="2F0EAFC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6B"/>
    <w:rsid w:val="000F7EB1"/>
    <w:rsid w:val="00524143"/>
    <w:rsid w:val="00BE7F6B"/>
    <w:rsid w:val="00C5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0249"/>
  <w15:chartTrackingRefBased/>
  <w15:docId w15:val="{C062289C-D17E-4674-945A-30184040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F6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KING (RLY) NSCHT</dc:creator>
  <cp:keywords/>
  <dc:description/>
  <cp:lastModifiedBy>LORRAINE KING (RLY) NSCHT</cp:lastModifiedBy>
  <cp:revision>3</cp:revision>
  <dcterms:created xsi:type="dcterms:W3CDTF">2021-12-07T09:29:00Z</dcterms:created>
  <dcterms:modified xsi:type="dcterms:W3CDTF">2022-01-29T08:32:00Z</dcterms:modified>
</cp:coreProperties>
</file>